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85" w:rsidRDefault="00466585" w:rsidP="00EF16E7">
      <w:pPr>
        <w:ind w:left="0"/>
        <w:rPr>
          <w:b/>
        </w:rPr>
      </w:pPr>
    </w:p>
    <w:p w:rsidR="005A03AD" w:rsidRPr="001153D0" w:rsidRDefault="004352CE" w:rsidP="00614C80">
      <w:pPr>
        <w:ind w:left="0"/>
      </w:pPr>
      <w:proofErr w:type="spellStart"/>
      <w:r>
        <w:rPr>
          <w:b/>
        </w:rPr>
        <w:t>Rezulatul</w:t>
      </w:r>
      <w:proofErr w:type="spellEnd"/>
      <w:r>
        <w:rPr>
          <w:b/>
        </w:rPr>
        <w:t xml:space="preserve"> probei </w:t>
      </w:r>
      <w:r w:rsidR="0053778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>de ocupare a funcţiilor publice vacante de inspector de urmărire și administrare bunuri, gradul profesional asistent si gradul profesional superior, din cadrul Agenției Naționale de Administrare a Bunurilor Indisponibilizate, Serviciul admin</w:t>
      </w:r>
      <w:r>
        <w:rPr>
          <w:b/>
        </w:rPr>
        <w:t>istrare și valorificare bunuri</w:t>
      </w:r>
    </w:p>
    <w:tbl>
      <w:tblPr>
        <w:tblpPr w:leftFromText="180" w:rightFromText="180" w:vertAnchor="text" w:horzAnchor="margin" w:tblpX="-147" w:tblpY="17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63"/>
        <w:gridCol w:w="1418"/>
        <w:gridCol w:w="1843"/>
        <w:gridCol w:w="2131"/>
      </w:tblGrid>
      <w:tr w:rsidR="00E04B11" w:rsidRPr="001153D0" w:rsidTr="00867C60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18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84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2131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04B11" w:rsidRPr="001153D0" w:rsidTr="00867C60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24/622/2021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ASISTENT-SAVB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85,33</w:t>
            </w: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103EB1">
              <w:rPr>
                <w:rFonts w:eastAsia="Times New Roman"/>
                <w:i/>
                <w:sz w:val="20"/>
                <w:szCs w:val="20"/>
              </w:rPr>
              <w:t>30/622/2021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88</w:t>
            </w: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8/622/2021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69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632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12/622/2021</w:t>
            </w: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41,33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RESPINS</w:t>
            </w:r>
          </w:p>
        </w:tc>
      </w:tr>
      <w:tr w:rsidR="00E04B11" w:rsidRPr="001153D0" w:rsidTr="00867C6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34/622/2021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57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252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32/622/2021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ASISTENT- 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66,66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10/622/2021</w:t>
            </w:r>
          </w:p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53,66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  <w:tr w:rsidR="00E04B11" w:rsidRPr="001153D0" w:rsidTr="00867C60">
        <w:trPr>
          <w:trHeight w:val="237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E04B11" w:rsidRPr="00103EB1" w:rsidRDefault="00E04B11" w:rsidP="009B7AC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>31/622/2021</w:t>
            </w:r>
          </w:p>
        </w:tc>
        <w:tc>
          <w:tcPr>
            <w:tcW w:w="1418" w:type="dxa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 xml:space="preserve">ASISTENT- 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SAVB</w:t>
            </w:r>
          </w:p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4B11" w:rsidRPr="00103EB1" w:rsidRDefault="00E04B11" w:rsidP="009B7AC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58</w:t>
            </w:r>
            <w:r w:rsidRPr="00103EB1">
              <w:rPr>
                <w:rFonts w:eastAsia="Times New Roman"/>
                <w:i/>
                <w:sz w:val="20"/>
                <w:szCs w:val="20"/>
                <w:lang w:eastAsia="ro-RO"/>
              </w:rPr>
              <w:t xml:space="preserve"> puncte</w:t>
            </w:r>
          </w:p>
        </w:tc>
        <w:tc>
          <w:tcPr>
            <w:tcW w:w="2131" w:type="dxa"/>
          </w:tcPr>
          <w:p w:rsidR="00E04B11" w:rsidRPr="00103EB1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 w:rsidRPr="00103EB1"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95626F" w:rsidRPr="001153D0" w:rsidRDefault="0095626F" w:rsidP="00614C80">
      <w:pPr>
        <w:framePr w:hSpace="180" w:wrap="around" w:vAnchor="text" w:hAnchor="margin" w:y="256"/>
        <w:ind w:left="0"/>
        <w:suppressOverlap/>
      </w:pPr>
    </w:p>
    <w:p w:rsidR="0055344E" w:rsidRDefault="0055344E" w:rsidP="00614C80">
      <w:pPr>
        <w:ind w:left="0"/>
      </w:pPr>
    </w:p>
    <w:p w:rsidR="00E04B11" w:rsidRDefault="00E04B11" w:rsidP="00614C80">
      <w:pPr>
        <w:ind w:left="0"/>
      </w:pPr>
    </w:p>
    <w:p w:rsidR="009B7ACA" w:rsidRDefault="009B7ACA" w:rsidP="00614C80">
      <w:pPr>
        <w:ind w:left="0"/>
      </w:pPr>
    </w:p>
    <w:p w:rsidR="009B7ACA" w:rsidRDefault="009B7ACA" w:rsidP="00614C80">
      <w:pPr>
        <w:ind w:left="0"/>
      </w:pPr>
    </w:p>
    <w:p w:rsidR="00E04B11" w:rsidRDefault="00E04B11" w:rsidP="00614C80">
      <w:pPr>
        <w:ind w:left="0"/>
      </w:pPr>
    </w:p>
    <w:p w:rsidR="00E04B11" w:rsidRDefault="00E04B11" w:rsidP="00614C80">
      <w:pPr>
        <w:ind w:left="0"/>
      </w:pPr>
    </w:p>
    <w:tbl>
      <w:tblPr>
        <w:tblpPr w:leftFromText="180" w:rightFromText="180" w:vertAnchor="text" w:horzAnchor="margin" w:tblpY="189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30"/>
        <w:gridCol w:w="1560"/>
        <w:gridCol w:w="1984"/>
        <w:gridCol w:w="2126"/>
      </w:tblGrid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365728" w:rsidRDefault="00E04B11" w:rsidP="009B7ACA">
            <w:pPr>
              <w:ind w:left="0"/>
              <w:jc w:val="center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lastRenderedPageBreak/>
              <w:t>Nr.</w:t>
            </w:r>
          </w:p>
          <w:p w:rsidR="00E04B11" w:rsidRPr="00365728" w:rsidRDefault="00E04B11" w:rsidP="009B7ACA">
            <w:pPr>
              <w:ind w:left="0"/>
              <w:jc w:val="center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crt.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365728" w:rsidRDefault="00E04B11" w:rsidP="009B7ACA">
            <w:pPr>
              <w:ind w:left="0"/>
              <w:jc w:val="center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>Candidatul care a depus dosar de concurs(număr înregistrare ANABI)*</w:t>
            </w:r>
          </w:p>
        </w:tc>
        <w:tc>
          <w:tcPr>
            <w:tcW w:w="1560" w:type="dxa"/>
          </w:tcPr>
          <w:p w:rsidR="00E04B11" w:rsidRPr="00365728" w:rsidRDefault="00E04B11" w:rsidP="009B7ACA">
            <w:pPr>
              <w:ind w:left="0"/>
              <w:jc w:val="center"/>
              <w:rPr>
                <w:iCs/>
              </w:rPr>
            </w:pPr>
            <w:r w:rsidRPr="00365728">
              <w:rPr>
                <w:b/>
                <w:i/>
                <w:iCs/>
              </w:rPr>
              <w:t>Gradul profesional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365728" w:rsidRDefault="00E04B11" w:rsidP="009B7ACA">
            <w:pPr>
              <w:ind w:left="0"/>
              <w:jc w:val="center"/>
              <w:rPr>
                <w:i/>
              </w:rPr>
            </w:pPr>
            <w:r w:rsidRPr="00365728">
              <w:rPr>
                <w:b/>
                <w:i/>
                <w:iCs/>
              </w:rPr>
              <w:t xml:space="preserve">Punctajul final </w:t>
            </w:r>
            <w:proofErr w:type="spellStart"/>
            <w:r w:rsidRPr="00365728">
              <w:rPr>
                <w:b/>
                <w:i/>
                <w:iCs/>
              </w:rPr>
              <w:t>obţinut</w:t>
            </w:r>
            <w:proofErr w:type="spellEnd"/>
            <w:r w:rsidRPr="00365728">
              <w:rPr>
                <w:b/>
                <w:i/>
                <w:iCs/>
              </w:rPr>
              <w:t xml:space="preserve"> la proba </w:t>
            </w:r>
            <w:r w:rsidR="009B7ACA">
              <w:rPr>
                <w:b/>
                <w:i/>
                <w:iCs/>
              </w:rPr>
              <w:t>interviu</w:t>
            </w:r>
            <w:r w:rsidRPr="00365728">
              <w:rPr>
                <w:b/>
                <w:i/>
                <w:iCs/>
              </w:rPr>
              <w:t>(puncte)</w:t>
            </w:r>
          </w:p>
        </w:tc>
        <w:tc>
          <w:tcPr>
            <w:tcW w:w="2126" w:type="dxa"/>
          </w:tcPr>
          <w:p w:rsidR="00E04B11" w:rsidRPr="00365728" w:rsidRDefault="00E04B11" w:rsidP="009B7ACA">
            <w:pPr>
              <w:ind w:left="0"/>
              <w:jc w:val="center"/>
              <w:rPr>
                <w:b/>
                <w:i/>
                <w:iCs/>
              </w:rPr>
            </w:pPr>
            <w:r w:rsidRPr="00365728">
              <w:rPr>
                <w:b/>
                <w:i/>
                <w:iCs/>
              </w:rPr>
              <w:t xml:space="preserve">Rezultat probă </w:t>
            </w:r>
            <w:r w:rsidR="009B7ACA">
              <w:rPr>
                <w:b/>
                <w:i/>
                <w:iCs/>
              </w:rPr>
              <w:t>interviu</w:t>
            </w:r>
          </w:p>
          <w:p w:rsidR="00E04B11" w:rsidRPr="00365728" w:rsidRDefault="00E04B11" w:rsidP="009B7ACA">
            <w:pPr>
              <w:ind w:left="0"/>
              <w:jc w:val="center"/>
              <w:rPr>
                <w:i/>
                <w:iCs/>
              </w:rPr>
            </w:pPr>
            <w:r w:rsidRPr="00365728">
              <w:rPr>
                <w:b/>
                <w:i/>
                <w:iCs/>
              </w:rPr>
              <w:t>ADMIS/RESPINS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5/622/2021</w:t>
            </w:r>
          </w:p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</w:t>
            </w:r>
            <w:r w:rsidR="00E04B11" w:rsidRPr="00691EB4">
              <w:rPr>
                <w:i/>
                <w:iCs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 xml:space="preserve">2.  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36/622/2021</w:t>
            </w:r>
          </w:p>
          <w:p w:rsidR="00E04B11" w:rsidRPr="00691EB4" w:rsidRDefault="00E04B11" w:rsidP="00316235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68,66</w:t>
            </w:r>
            <w:r w:rsidR="00E04B11" w:rsidRPr="00691EB4">
              <w:rPr>
                <w:i/>
                <w:iCs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7/622/2021</w:t>
            </w:r>
          </w:p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</w:t>
            </w:r>
            <w:r w:rsidR="00E04B11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18/622/2021</w:t>
            </w:r>
          </w:p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 xml:space="preserve">SUPERIOR - SAVB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78,66</w:t>
            </w:r>
            <w:r w:rsidR="00E04B11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</w:tr>
      <w:tr w:rsidR="00E04B11" w:rsidRPr="00365728" w:rsidTr="009B7ACA">
        <w:trPr>
          <w:trHeight w:val="110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6/622/2021</w:t>
            </w:r>
          </w:p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–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  <w:r w:rsidR="00E04B11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864477" w:rsidP="00365728">
            <w:pPr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RESPINS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28/622/2021</w:t>
            </w:r>
          </w:p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="00E04B11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864477" w:rsidP="00365728">
            <w:pPr>
              <w:ind w:left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RESPINS</w:t>
            </w:r>
          </w:p>
        </w:tc>
      </w:tr>
      <w:tr w:rsidR="00E04B11" w:rsidRPr="00365728" w:rsidTr="009B7ACA">
        <w:trPr>
          <w:trHeight w:val="249"/>
        </w:trPr>
        <w:tc>
          <w:tcPr>
            <w:tcW w:w="60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  <w:r w:rsidRPr="00691EB4">
              <w:rPr>
                <w:i/>
                <w:sz w:val="20"/>
                <w:szCs w:val="20"/>
              </w:rPr>
              <w:t>14/622/2021</w:t>
            </w:r>
          </w:p>
          <w:p w:rsidR="00E04B11" w:rsidRPr="00691EB4" w:rsidRDefault="00E04B11" w:rsidP="00365728">
            <w:pPr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B11" w:rsidRPr="00691EB4" w:rsidRDefault="00E04B11" w:rsidP="00365728">
            <w:pPr>
              <w:ind w:left="0"/>
              <w:rPr>
                <w:iCs/>
                <w:sz w:val="20"/>
                <w:szCs w:val="20"/>
              </w:rPr>
            </w:pPr>
            <w:r w:rsidRPr="00691EB4">
              <w:rPr>
                <w:iCs/>
                <w:sz w:val="20"/>
                <w:szCs w:val="20"/>
              </w:rPr>
              <w:t>SUPERIOR - SAVB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4B11" w:rsidRPr="00691EB4" w:rsidRDefault="00864477" w:rsidP="00365728">
            <w:pPr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51,66</w:t>
            </w:r>
            <w:r w:rsidR="00E04B11" w:rsidRPr="00691EB4">
              <w:rPr>
                <w:i/>
                <w:sz w:val="20"/>
                <w:szCs w:val="20"/>
              </w:rPr>
              <w:t xml:space="preserve"> puncte</w:t>
            </w:r>
          </w:p>
        </w:tc>
        <w:tc>
          <w:tcPr>
            <w:tcW w:w="2126" w:type="dxa"/>
          </w:tcPr>
          <w:p w:rsidR="00E04B11" w:rsidRPr="00691EB4" w:rsidRDefault="00E04B11" w:rsidP="00365728">
            <w:pPr>
              <w:ind w:left="0"/>
              <w:rPr>
                <w:i/>
                <w:iCs/>
                <w:sz w:val="20"/>
                <w:szCs w:val="20"/>
              </w:rPr>
            </w:pPr>
            <w:r w:rsidRPr="00691EB4">
              <w:rPr>
                <w:i/>
                <w:iCs/>
                <w:sz w:val="20"/>
                <w:szCs w:val="20"/>
              </w:rPr>
              <w:t>ADMIS</w:t>
            </w:r>
          </w:p>
        </w:tc>
      </w:tr>
    </w:tbl>
    <w:p w:rsidR="00614C80" w:rsidRPr="00E04B11" w:rsidRDefault="00282AB6" w:rsidP="00614C80">
      <w:pPr>
        <w:ind w:left="0"/>
      </w:pPr>
      <w:r w:rsidRPr="00E04B1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55344E" w:rsidRPr="001153D0" w:rsidRDefault="008145E6" w:rsidP="00614C80">
      <w:pPr>
        <w:ind w:left="0"/>
      </w:pPr>
      <w:r>
        <w:t xml:space="preserve">Candidații </w:t>
      </w:r>
      <w:proofErr w:type="spellStart"/>
      <w:r>
        <w:t>nemulțumiti</w:t>
      </w:r>
      <w:proofErr w:type="spellEnd"/>
      <w:r>
        <w:t xml:space="preserve"> pot face contestație, în termen de 24 de ore de la data afișării rezultatului probei </w:t>
      </w:r>
      <w:r w:rsidR="00864477">
        <w:t>interviu</w:t>
      </w:r>
      <w:r>
        <w:t xml:space="preserve">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  <w:bookmarkStart w:id="0" w:name="_GoBack"/>
      <w:bookmarkEnd w:id="0"/>
    </w:p>
    <w:p w:rsidR="00614C80" w:rsidRDefault="00614C80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E04B11">
        <w:rPr>
          <w:b/>
          <w:i/>
        </w:rPr>
        <w:t>04</w:t>
      </w:r>
      <w:r w:rsidR="00127997">
        <w:rPr>
          <w:b/>
          <w:i/>
        </w:rPr>
        <w:t>.0</w:t>
      </w:r>
      <w:r w:rsidR="00E04B11">
        <w:rPr>
          <w:b/>
          <w:i/>
        </w:rPr>
        <w:t>6</w:t>
      </w:r>
      <w:r w:rsidR="00127997">
        <w:rPr>
          <w:b/>
          <w:i/>
        </w:rPr>
        <w:t>.2021</w:t>
      </w:r>
      <w:r w:rsidR="00DE44D5">
        <w:rPr>
          <w:b/>
          <w:i/>
        </w:rPr>
        <w:t xml:space="preserve">, ora </w:t>
      </w:r>
      <w:r w:rsidR="00436452">
        <w:rPr>
          <w:b/>
          <w:i/>
        </w:rPr>
        <w:t>1</w:t>
      </w:r>
      <w:r w:rsidR="00E04B11">
        <w:rPr>
          <w:b/>
          <w:i/>
        </w:rPr>
        <w:t>4</w:t>
      </w:r>
      <w:r w:rsidR="00436452">
        <w:rPr>
          <w:b/>
          <w:i/>
        </w:rPr>
        <w:t>:30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83" w:rsidRDefault="00827683" w:rsidP="00B17DBE">
      <w:pPr>
        <w:spacing w:after="0" w:line="240" w:lineRule="auto"/>
      </w:pPr>
      <w:r>
        <w:separator/>
      </w:r>
    </w:p>
  </w:endnote>
  <w:endnote w:type="continuationSeparator" w:id="0">
    <w:p w:rsidR="00827683" w:rsidRDefault="00827683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64477">
          <w:rPr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864477">
          <w:rPr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83" w:rsidRDefault="00827683" w:rsidP="00B17DBE">
      <w:pPr>
        <w:spacing w:after="0" w:line="240" w:lineRule="auto"/>
      </w:pPr>
      <w:r>
        <w:separator/>
      </w:r>
    </w:p>
  </w:footnote>
  <w:footnote w:type="continuationSeparator" w:id="0">
    <w:p w:rsidR="00827683" w:rsidRDefault="00827683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3778B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683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4477"/>
    <w:rsid w:val="008652C2"/>
    <w:rsid w:val="008653A7"/>
    <w:rsid w:val="00867C60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ACA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04B11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112B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9201-F9EA-4AF5-BE43-F4E583B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75</cp:revision>
  <cp:lastPrinted>2019-03-06T14:49:00Z</cp:lastPrinted>
  <dcterms:created xsi:type="dcterms:W3CDTF">2020-11-16T12:26:00Z</dcterms:created>
  <dcterms:modified xsi:type="dcterms:W3CDTF">2021-06-04T10:21:00Z</dcterms:modified>
</cp:coreProperties>
</file>